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29497" w14:textId="77777777" w:rsidR="00340BE3" w:rsidRPr="00340BE3" w:rsidRDefault="00340BE3" w:rsidP="00340BE3">
      <w:r w:rsidRPr="00340BE3">
        <w:t>Les « cadres article 4 et 4 bis » font référence à des dispositions historiques de la Convention Collective Nationale de retraite complémentaire AGIRC du 14 mars 1947, qui ont longtemps servi à distinguer les catégories de salariés pour l’affiliation à la retraite complémentaire des cadres.</w:t>
      </w:r>
    </w:p>
    <w:p w14:paraId="509B48E2" w14:textId="77777777" w:rsidR="00340BE3" w:rsidRPr="00340BE3" w:rsidRDefault="00340BE3" w:rsidP="00340BE3">
      <w:pPr>
        <w:rPr>
          <w:b/>
          <w:bCs/>
        </w:rPr>
      </w:pPr>
      <w:r w:rsidRPr="00340BE3">
        <w:rPr>
          <w:rFonts w:ascii="Segoe UI Emoji" w:hAnsi="Segoe UI Emoji" w:cs="Segoe UI Emoji"/>
          <w:b/>
          <w:bCs/>
        </w:rPr>
        <w:t>🧠</w:t>
      </w:r>
      <w:r w:rsidRPr="00340BE3">
        <w:rPr>
          <w:b/>
          <w:bCs/>
        </w:rPr>
        <w:t xml:space="preserve"> Définition des articles 4 et 4 bis</w:t>
      </w:r>
    </w:p>
    <w:p w14:paraId="7047F2BF" w14:textId="77777777" w:rsidR="00340BE3" w:rsidRPr="00340BE3" w:rsidRDefault="00340BE3" w:rsidP="00340BE3">
      <w:pPr>
        <w:numPr>
          <w:ilvl w:val="0"/>
          <w:numId w:val="1"/>
        </w:numPr>
      </w:pPr>
      <w:r w:rsidRPr="00340BE3">
        <w:rPr>
          <w:b/>
          <w:bCs/>
        </w:rPr>
        <w:t>Article 4</w:t>
      </w:r>
      <w:r w:rsidRPr="00340BE3">
        <w:t xml:space="preserve"> : concerne les </w:t>
      </w:r>
      <w:r w:rsidRPr="00340BE3">
        <w:rPr>
          <w:i/>
          <w:iCs/>
        </w:rPr>
        <w:t>cadres au sens strict</w:t>
      </w:r>
      <w:r w:rsidRPr="00340BE3">
        <w:t>, c’est-à-dire les ingénieurs et cadres reconnus comme tels dans les classifications professionnelles. Leur affiliation à l’AGIRC était obligatoire.</w:t>
      </w:r>
    </w:p>
    <w:p w14:paraId="133871C4" w14:textId="77777777" w:rsidR="00340BE3" w:rsidRPr="00340BE3" w:rsidRDefault="00340BE3" w:rsidP="00340BE3">
      <w:pPr>
        <w:numPr>
          <w:ilvl w:val="0"/>
          <w:numId w:val="1"/>
        </w:numPr>
      </w:pPr>
      <w:r w:rsidRPr="00340BE3">
        <w:rPr>
          <w:b/>
          <w:bCs/>
        </w:rPr>
        <w:t>Article 4 bis</w:t>
      </w:r>
      <w:r w:rsidRPr="00340BE3">
        <w:t xml:space="preserve"> : concerne les </w:t>
      </w:r>
      <w:r w:rsidRPr="00340BE3">
        <w:rPr>
          <w:i/>
          <w:iCs/>
        </w:rPr>
        <w:t>assimilés cadres</w:t>
      </w:r>
      <w:r w:rsidRPr="00340BE3">
        <w:t>, souvent des employés, techniciens ou agents de maîtrise (ETAM), qui bénéficiaient d’une affiliation à l’AGIRC même s’ils n’étaient pas cadres au sens conventionnel. Cela résultait souvent d’accords d’entreprise ou de branche.</w:t>
      </w:r>
    </w:p>
    <w:p w14:paraId="665C24B3" w14:textId="77777777" w:rsidR="001B2D0C" w:rsidRDefault="00340BE3" w:rsidP="00340BE3">
      <w:pPr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40BE3">
        <w:t>Ces articles ont été utilisés pour définir les « catégorie Ces articles ont été utilisés pour définir les « catégories objectives » de salariés dans les régimes de prévoyance et de retraite complémentaire, notamment pour bénéficier d’exonérations de cotisations patronales</w:t>
      </w:r>
      <w:r w:rsidRPr="00340BE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 xml:space="preserve"> </w:t>
      </w:r>
    </w:p>
    <w:p w14:paraId="4E2BB618" w14:textId="77F8E44E" w:rsidR="00340BE3" w:rsidRPr="00340BE3" w:rsidRDefault="00340BE3" w:rsidP="00340BE3">
      <w:pPr>
        <w:rPr>
          <w:b/>
          <w:bCs/>
        </w:rPr>
      </w:pPr>
      <w:r w:rsidRPr="00340BE3">
        <w:rPr>
          <w:b/>
          <w:bCs/>
        </w:rPr>
        <w:t>Particularités au niveau des cotisations</w:t>
      </w:r>
    </w:p>
    <w:p w14:paraId="7DF595F3" w14:textId="77777777" w:rsidR="00340BE3" w:rsidRPr="00340BE3" w:rsidRDefault="00340BE3" w:rsidP="00340BE3">
      <w:pPr>
        <w:numPr>
          <w:ilvl w:val="0"/>
          <w:numId w:val="2"/>
        </w:numPr>
      </w:pPr>
      <w:r w:rsidRPr="00340BE3">
        <w:t>Les cadres (article 4) et assimilés cadres (article 4 bis) étaient affiliés à l’</w:t>
      </w:r>
      <w:r w:rsidRPr="00340BE3">
        <w:rPr>
          <w:b/>
          <w:bCs/>
        </w:rPr>
        <w:t>AGIRC</w:t>
      </w:r>
      <w:r w:rsidRPr="00340BE3">
        <w:t>, avec des taux de cotisation spécifiques, souvent plus élevés que ceux de l’ARRCO (régime des non-cadres).</w:t>
      </w:r>
    </w:p>
    <w:p w14:paraId="5186864F" w14:textId="77777777" w:rsidR="00340BE3" w:rsidRPr="00340BE3" w:rsidRDefault="00340BE3" w:rsidP="00340BE3">
      <w:pPr>
        <w:numPr>
          <w:ilvl w:val="0"/>
          <w:numId w:val="2"/>
        </w:numPr>
      </w:pPr>
      <w:r w:rsidRPr="00340BE3">
        <w:t xml:space="preserve">Depuis la </w:t>
      </w:r>
      <w:r w:rsidRPr="00340BE3">
        <w:rPr>
          <w:b/>
          <w:bCs/>
        </w:rPr>
        <w:t>fusion AGIRC-ARRCO au 1er janvier 2019</w:t>
      </w:r>
      <w:r w:rsidRPr="00340BE3">
        <w:t xml:space="preserve">, tous les salariés cotisent au régime unifié AGIRC-ARRCO, mais certaines entreprises conservent des </w:t>
      </w:r>
      <w:r w:rsidRPr="00340BE3">
        <w:rPr>
          <w:b/>
          <w:bCs/>
        </w:rPr>
        <w:t>obligations spécifiques</w:t>
      </w:r>
      <w:r w:rsidRPr="00340BE3">
        <w:t xml:space="preserve"> :</w:t>
      </w:r>
    </w:p>
    <w:p w14:paraId="05F7D41C" w14:textId="035F5923" w:rsidR="00340BE3" w:rsidRPr="00340BE3" w:rsidRDefault="00340BE3" w:rsidP="001B2D0C">
      <w:pPr>
        <w:numPr>
          <w:ilvl w:val="1"/>
          <w:numId w:val="2"/>
        </w:numPr>
      </w:pPr>
      <w:r w:rsidRPr="00340BE3">
        <w:t xml:space="preserve">Des </w:t>
      </w:r>
      <w:r w:rsidRPr="00340BE3">
        <w:rPr>
          <w:b/>
          <w:bCs/>
        </w:rPr>
        <w:t>taux de cotisation supérieurs</w:t>
      </w:r>
      <w:r w:rsidRPr="00340BE3">
        <w:t xml:space="preserve"> peuvent s’appliquer dans le cadre d’« opérations supplémentaires » liées à des engagements antérieurs à 1993</w:t>
      </w:r>
    </w:p>
    <w:p w14:paraId="0F90F365" w14:textId="77777777" w:rsidR="00340BE3" w:rsidRPr="00340BE3" w:rsidRDefault="00340BE3" w:rsidP="00340BE3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340BE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Ces obligations peuvent découler d’accords de branche ou d’adhésions particulières à l’époque de la généralisation des retraites complémentaires.</w:t>
      </w:r>
    </w:p>
    <w:p w14:paraId="46D61D28" w14:textId="77777777" w:rsidR="00340BE3" w:rsidRPr="00340BE3" w:rsidRDefault="00340BE3" w:rsidP="00340B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</w:pPr>
      <w:r w:rsidRPr="00340BE3">
        <w:rPr>
          <w:rFonts w:ascii="Segoe UI Emoji" w:eastAsia="Times New Roman" w:hAnsi="Segoe UI Emoji" w:cs="Segoe UI Emoji"/>
          <w:b/>
          <w:bCs/>
          <w:kern w:val="0"/>
          <w:sz w:val="27"/>
          <w:szCs w:val="27"/>
          <w:lang w:eastAsia="fr-FR"/>
          <w14:ligatures w14:val="none"/>
        </w:rPr>
        <w:t>📅</w:t>
      </w:r>
      <w:r w:rsidRPr="00340BE3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:lang w:eastAsia="fr-FR"/>
          <w14:ligatures w14:val="none"/>
        </w:rPr>
        <w:t xml:space="preserve"> Évolutions récentes</w:t>
      </w:r>
    </w:p>
    <w:p w14:paraId="1F297052" w14:textId="77777777" w:rsidR="00340BE3" w:rsidRPr="00124A36" w:rsidRDefault="00340BE3" w:rsidP="00340B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340BE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À partir du </w:t>
      </w:r>
      <w:r w:rsidRPr="00340B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1er janvier 2025</w:t>
      </w:r>
      <w:r w:rsidRPr="00340BE3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, les références aux articles 4 et 4 bis deviennent officiellement caduques. Les catégories de cadres et non-cadres sont désormais définies par les </w:t>
      </w:r>
      <w:r w:rsidRPr="00340BE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articles 2.1 et 2.2 de l’ANI Prévoyance du 17 novembre 2017</w:t>
      </w:r>
    </w:p>
    <w:p w14:paraId="4FA5C1A3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Article 2.1 – Les « cadres »</w:t>
      </w:r>
    </w:p>
    <w:p w14:paraId="2502615C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Sont considérés comme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cadres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(et donc concernés par le régime de prévoyance cadre) :</w:t>
      </w:r>
    </w:p>
    <w:p w14:paraId="675DC369" w14:textId="77777777" w:rsidR="00124A36" w:rsidRPr="00124A36" w:rsidRDefault="00124A36" w:rsidP="00124A3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ingénieurs et cadres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tels que définis dans les conventions collectives, accords de branche ou arrêtés anciens qui fixaient les catégories de personnel.</w:t>
      </w:r>
    </w:p>
    <w:p w14:paraId="131E8DCE" w14:textId="77777777" w:rsidR="00124A36" w:rsidRPr="00124A36" w:rsidRDefault="00124A36" w:rsidP="00124A3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VRP (voyageurs, représentants, placiers)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travaillant pour un seul employeur, quand leurs fonctions correspondent à celles d’un cadre.</w:t>
      </w:r>
    </w:p>
    <w:p w14:paraId="1632D894" w14:textId="77777777" w:rsidR="00124A36" w:rsidRPr="00124A36" w:rsidRDefault="00124A36" w:rsidP="00124A3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salariés exerçant des fonctions de direction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, dès lors qu’ils relèvent du régime général de la Sécurité sociale.</w:t>
      </w:r>
    </w:p>
    <w:p w14:paraId="37AB56D8" w14:textId="77777777" w:rsidR="00124A36" w:rsidRPr="00124A36" w:rsidRDefault="00124A36" w:rsidP="00124A36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médecins salariés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, ainsi que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les conseillères du travail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ou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surintendantes d’usine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diplômées selon les conditions prévues.</w:t>
      </w:r>
    </w:p>
    <w:p w14:paraId="432F7555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➡️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Cet article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reprend les mêmes bénéficiaires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que les anciens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articles 4 et 4 bis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de la Convention AGIRC de 1947, donc pas de changement de fond.</w:t>
      </w:r>
    </w:p>
    <w:p w14:paraId="409F9626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lastRenderedPageBreak/>
        <w:t>Article 2.2 – Les « assimilés cadres »</w:t>
      </w:r>
    </w:p>
    <w:p w14:paraId="4550023A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Sont considérés comme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assimilés cadres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(ils bénéficient du même régime de prévoyance que les cadres) :</w:t>
      </w:r>
    </w:p>
    <w:p w14:paraId="29723D6B" w14:textId="77777777" w:rsidR="00124A36" w:rsidRPr="00124A36" w:rsidRDefault="00124A36" w:rsidP="00124A3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Les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employés, techniciens et agents de maîtrise (ETAM)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qui ont une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cote hiérarchique brute ≥ 300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(selon les anciennes grilles de classification).</w:t>
      </w:r>
    </w:p>
    <w:p w14:paraId="1EAAFD40" w14:textId="77777777" w:rsidR="00124A36" w:rsidRPr="00124A36" w:rsidRDefault="00124A36" w:rsidP="00124A36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Ou bien, ceux dont le niveau dans la convention collective correspond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hiérarchiquement à une fonction de cadre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20C24FC0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Segoe UI Emoji" w:eastAsia="Times New Roman" w:hAnsi="Segoe UI Emoji" w:cs="Segoe UI Emoji"/>
          <w:kern w:val="0"/>
          <w:sz w:val="24"/>
          <w:szCs w:val="24"/>
          <w:lang w:eastAsia="fr-FR"/>
          <w14:ligatures w14:val="none"/>
        </w:rPr>
        <w:t>➡️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Cet article reprend les anciens bénéficiaires de l’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article 4 bis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de la Convention AGIRC de 1947.</w:t>
      </w:r>
    </w:p>
    <w:p w14:paraId="597A47E0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pict w14:anchorId="2010D3F1">
          <v:rect id="_x0000_i1031" style="width:0;height:1.5pt" o:hralign="center" o:hrstd="t" o:hr="t" fillcolor="#a0a0a0" stroked="f"/>
        </w:pict>
      </w:r>
    </w:p>
    <w:p w14:paraId="43242F05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Segoe UI Emoji" w:eastAsia="Times New Roman" w:hAnsi="Segoe UI Emoji" w:cs="Segoe UI Emoji"/>
          <w:b/>
          <w:bCs/>
          <w:kern w:val="0"/>
          <w:sz w:val="24"/>
          <w:szCs w:val="24"/>
          <w:lang w:eastAsia="fr-FR"/>
          <w14:ligatures w14:val="none"/>
        </w:rPr>
        <w:t>🎯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 xml:space="preserve"> Pourquoi ces articles sont importants</w:t>
      </w:r>
    </w:p>
    <w:p w14:paraId="5E2CBA11" w14:textId="77777777" w:rsidR="00124A36" w:rsidRPr="00124A36" w:rsidRDefault="00124A36" w:rsidP="00124A3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Ils remplacent les anciens articles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4, 4 bis et 36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devenus obsolètes avec la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fusion AGIRC-ARRCO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74EB038D" w14:textId="77777777" w:rsidR="00124A36" w:rsidRPr="00124A36" w:rsidRDefault="00124A36" w:rsidP="00124A3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Ils servent de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référence officielle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pour déterminer qui relève du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régime de prévoyance cadre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76F42F35" w14:textId="77777777" w:rsidR="00124A36" w:rsidRPr="00124A36" w:rsidRDefault="00124A36" w:rsidP="00124A36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Les entreprises doivent les utiliser pour :</w:t>
      </w:r>
    </w:p>
    <w:p w14:paraId="1F6557E0" w14:textId="77777777" w:rsidR="00124A36" w:rsidRPr="00124A36" w:rsidRDefault="00124A36" w:rsidP="00124A3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proofErr w:type="gramStart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rédiger</w:t>
      </w:r>
      <w:proofErr w:type="gramEnd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ou mettre à jour leurs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actes de mise en place de prévoyance/santé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(accord collectif, DUE, etc.) ;</w:t>
      </w:r>
    </w:p>
    <w:p w14:paraId="0DE8ED31" w14:textId="77777777" w:rsidR="00124A36" w:rsidRPr="00124A36" w:rsidRDefault="00124A36" w:rsidP="00124A3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proofErr w:type="gramStart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garantir</w:t>
      </w:r>
      <w:proofErr w:type="gramEnd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caractère collectif et obligatoire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du régime ;</w:t>
      </w:r>
    </w:p>
    <w:p w14:paraId="3BE028D9" w14:textId="77777777" w:rsidR="00124A36" w:rsidRPr="00124A36" w:rsidRDefault="00124A36" w:rsidP="00124A36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proofErr w:type="gramStart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conserver</w:t>
      </w:r>
      <w:proofErr w:type="gramEnd"/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 xml:space="preserve"> les </w:t>
      </w:r>
      <w:r w:rsidRPr="00124A3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fr-FR"/>
          <w14:ligatures w14:val="none"/>
        </w:rPr>
        <w:t>exonérations de cotisations sociales</w:t>
      </w: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t>.</w:t>
      </w:r>
    </w:p>
    <w:p w14:paraId="195B9105" w14:textId="77777777" w:rsid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213520F4" w14:textId="15D0D2D5" w:rsidR="00124A36" w:rsidRDefault="00124A36">
      <w:pP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br w:type="page"/>
      </w:r>
    </w:p>
    <w:p w14:paraId="0734FB84" w14:textId="77777777" w:rsidR="00124A36" w:rsidRPr="00124A36" w:rsidRDefault="00124A36" w:rsidP="00124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4A87367D" w14:textId="77777777" w:rsidR="00124A36" w:rsidRDefault="00124A36" w:rsidP="00124A36">
      <w:pPr>
        <w:pStyle w:val="NormalWeb"/>
        <w:numPr>
          <w:ilvl w:val="0"/>
          <w:numId w:val="2"/>
        </w:numPr>
      </w:pPr>
      <w:r>
        <w:t>L’</w:t>
      </w:r>
      <w:r>
        <w:rPr>
          <w:rStyle w:val="lev"/>
          <w:rFonts w:eastAsiaTheme="majorEastAsia"/>
        </w:rPr>
        <w:t>ANI du 17 novembre 2017 relatif à la prévoyance des cadres</w:t>
      </w:r>
      <w:r>
        <w:t xml:space="preserve"> a redéfini les catégories de bénéficiaires (cadres / assimilés cadres) pour les régimes de prévoyance, en remplacement des références aux anciens « articles 4, 4 bis et 36 » de la CCN AGIRC de 1947. </w:t>
      </w:r>
      <w:hyperlink r:id="rId5" w:tgtFrame="_blank" w:history="1">
        <w:r>
          <w:rPr>
            <w:rStyle w:val="max-w-15ch"/>
            <w:rFonts w:eastAsiaTheme="majorEastAsia"/>
            <w:color w:val="0000FF"/>
            <w:u w:val="single"/>
          </w:rPr>
          <w:t>Légifrance</w:t>
        </w:r>
        <w:r>
          <w:rPr>
            <w:rStyle w:val="-me-1"/>
            <w:color w:val="0000FF"/>
            <w:u w:val="single"/>
          </w:rPr>
          <w:t>+5</w:t>
        </w:r>
        <w:r>
          <w:rPr>
            <w:rStyle w:val="max-w-15ch"/>
            <w:rFonts w:eastAsiaTheme="majorEastAsia"/>
            <w:color w:val="0000FF"/>
            <w:u w:val="single"/>
          </w:rPr>
          <w:t>Légifrance</w:t>
        </w:r>
        <w:r>
          <w:rPr>
            <w:rStyle w:val="-me-1"/>
            <w:color w:val="0000FF"/>
            <w:u w:val="single"/>
          </w:rPr>
          <w:t>+5</w:t>
        </w:r>
        <w:r>
          <w:rPr>
            <w:rStyle w:val="max-w-15ch"/>
            <w:rFonts w:eastAsiaTheme="majorEastAsia"/>
            <w:color w:val="0000FF"/>
            <w:u w:val="single"/>
          </w:rPr>
          <w:t>ADP France</w:t>
        </w:r>
        <w:r>
          <w:rPr>
            <w:rStyle w:val="-me-1"/>
            <w:color w:val="0000FF"/>
            <w:u w:val="single"/>
          </w:rPr>
          <w:t>+5</w:t>
        </w:r>
      </w:hyperlink>
    </w:p>
    <w:p w14:paraId="40422371" w14:textId="77777777" w:rsidR="00124A36" w:rsidRDefault="00124A36" w:rsidP="00124A36">
      <w:pPr>
        <w:pStyle w:val="NormalWeb"/>
        <w:numPr>
          <w:ilvl w:val="0"/>
          <w:numId w:val="2"/>
        </w:numPr>
      </w:pPr>
      <w:r>
        <w:t xml:space="preserve">Les </w:t>
      </w:r>
      <w:r>
        <w:rPr>
          <w:rStyle w:val="lev"/>
          <w:rFonts w:eastAsiaTheme="majorEastAsia"/>
        </w:rPr>
        <w:t>articles 2.1 et 2.2</w:t>
      </w:r>
      <w:r>
        <w:t xml:space="preserve"> de cet ANI définissent les publics concernés — autrement dit, les salariés qui doivent relever du régime de prévoyance « cadre/assimilé cadre » selon les nouvelles dispositions.</w:t>
      </w:r>
    </w:p>
    <w:p w14:paraId="65E5ADC2" w14:textId="5D17B347" w:rsidR="00124A36" w:rsidRPr="00340BE3" w:rsidRDefault="00124A36" w:rsidP="00340BE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  <w:r w:rsidRPr="00124A36"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  <w:drawing>
          <wp:inline distT="0" distB="0" distL="0" distR="0" wp14:anchorId="7145A42D" wp14:editId="23B30ECC">
            <wp:extent cx="5760720" cy="2292350"/>
            <wp:effectExtent l="0" t="0" r="0" b="0"/>
            <wp:docPr id="193772542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72542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A7130" w14:textId="77777777" w:rsidR="00124A36" w:rsidRPr="00124A36" w:rsidRDefault="00124A36" w:rsidP="00124A36">
      <w:pPr>
        <w:rPr>
          <w:b/>
          <w:bCs/>
        </w:rPr>
      </w:pPr>
      <w:r w:rsidRPr="00124A36">
        <w:rPr>
          <w:b/>
          <w:bCs/>
        </w:rPr>
        <w:t>Quel est l’objectif / la portée pratique ?</w:t>
      </w:r>
    </w:p>
    <w:p w14:paraId="0F852CA9" w14:textId="77777777" w:rsidR="00124A36" w:rsidRPr="00124A36" w:rsidRDefault="00124A36" w:rsidP="00124A36">
      <w:pPr>
        <w:numPr>
          <w:ilvl w:val="0"/>
          <w:numId w:val="5"/>
        </w:numPr>
      </w:pPr>
      <w:r w:rsidRPr="00124A36">
        <w:t xml:space="preserve">Ces articles servent à </w:t>
      </w:r>
      <w:r w:rsidRPr="00124A36">
        <w:rPr>
          <w:b/>
          <w:bCs/>
        </w:rPr>
        <w:t>assimiler juridiquement les définitions de « cadres » et « assimilés cadres »</w:t>
      </w:r>
      <w:r w:rsidRPr="00124A36">
        <w:t xml:space="preserve"> dans les régimes de prévoyance obligatoire, en remplacement des anciennes définitions (articles 4, 4 bis et 36) qui étaient devenues obsolètes du fait de la fusion des régimes AGIRC / ARRCO. </w:t>
      </w:r>
      <w:hyperlink r:id="rId7" w:tgtFrame="_blank" w:history="1">
        <w:r w:rsidRPr="00124A36">
          <w:rPr>
            <w:rStyle w:val="Lienhypertexte"/>
          </w:rPr>
          <w:t>Légifrance+3Fromont Briens+3ADP France+3</w:t>
        </w:r>
      </w:hyperlink>
    </w:p>
    <w:p w14:paraId="030F0A5E" w14:textId="77777777" w:rsidR="00124A36" w:rsidRPr="00124A36" w:rsidRDefault="00124A36" w:rsidP="00124A36">
      <w:pPr>
        <w:numPr>
          <w:ilvl w:val="0"/>
          <w:numId w:val="5"/>
        </w:numPr>
      </w:pPr>
      <w:r w:rsidRPr="00124A36">
        <w:t xml:space="preserve">Ils sont utilisés comme </w:t>
      </w:r>
      <w:r w:rsidRPr="00124A36">
        <w:rPr>
          <w:b/>
          <w:bCs/>
        </w:rPr>
        <w:t>critère 1</w:t>
      </w:r>
      <w:r w:rsidRPr="00124A36">
        <w:t xml:space="preserve"> (appartenance à la catégorie cadre vs non-cadre) pour constituer des </w:t>
      </w:r>
      <w:r w:rsidRPr="00124A36">
        <w:rPr>
          <w:b/>
          <w:bCs/>
        </w:rPr>
        <w:t>catégories objectives</w:t>
      </w:r>
      <w:r w:rsidRPr="00124A36">
        <w:t xml:space="preserve"> de bénéficiaires dans les régimes de protection sociale complémentaire (prévoyance, santé). </w:t>
      </w:r>
      <w:hyperlink r:id="rId8" w:tgtFrame="_blank" w:history="1">
        <w:r w:rsidRPr="00124A36">
          <w:rPr>
            <w:rStyle w:val="Lienhypertexte"/>
          </w:rPr>
          <w:t>mgprev.fr+4Malakoff Humanis+4BNP Paribas Épargne Entreprises+4</w:t>
        </w:r>
      </w:hyperlink>
    </w:p>
    <w:p w14:paraId="730D69C0" w14:textId="77777777" w:rsidR="00124A36" w:rsidRPr="00124A36" w:rsidRDefault="00124A36" w:rsidP="00124A36">
      <w:pPr>
        <w:numPr>
          <w:ilvl w:val="0"/>
          <w:numId w:val="5"/>
        </w:numPr>
      </w:pPr>
      <w:r w:rsidRPr="00124A36">
        <w:t xml:space="preserve">Les entreprises doivent désormais faire figurer ces références </w:t>
      </w:r>
      <w:r w:rsidRPr="00124A36">
        <w:rPr>
          <w:b/>
          <w:bCs/>
        </w:rPr>
        <w:t>dans les actes de mise en place de leurs régimes</w:t>
      </w:r>
      <w:r w:rsidRPr="00124A36">
        <w:t xml:space="preserve"> (accord collectif, décision unilatérale, etc.), afin de préserver le caractère collectif et obligatoire du régime et les exonérations sociales associées. </w:t>
      </w:r>
      <w:hyperlink r:id="rId9" w:tgtFrame="_blank" w:history="1">
        <w:r w:rsidRPr="00124A36">
          <w:rPr>
            <w:rStyle w:val="Lienhypertexte"/>
          </w:rPr>
          <w:t>ADP France+3FF Bâtiment+3BNP Paribas Épargne Entreprises+3</w:t>
        </w:r>
      </w:hyperlink>
    </w:p>
    <w:p w14:paraId="649ECE08" w14:textId="77777777" w:rsidR="00124A36" w:rsidRPr="00124A36" w:rsidRDefault="00124A36" w:rsidP="00124A36">
      <w:pPr>
        <w:numPr>
          <w:ilvl w:val="0"/>
          <w:numId w:val="5"/>
        </w:numPr>
      </w:pPr>
      <w:r w:rsidRPr="00124A36">
        <w:t xml:space="preserve">Le décret du </w:t>
      </w:r>
      <w:r w:rsidRPr="00124A36">
        <w:rPr>
          <w:b/>
          <w:bCs/>
        </w:rPr>
        <w:t>30 juillet 2021</w:t>
      </w:r>
      <w:r w:rsidRPr="00124A36">
        <w:t xml:space="preserve"> est venu adapter les critères légaux (articles R. 242-1-1 du code de la sécurité sociale) en substituant les références aux anciens articles 4 / 4 bis / 36 par les articles 2.1 / 2.2 de l’ANI 2017. </w:t>
      </w:r>
      <w:hyperlink r:id="rId10" w:tgtFrame="_blank" w:history="1">
        <w:r w:rsidRPr="00124A36">
          <w:rPr>
            <w:rStyle w:val="Lienhypertexte"/>
          </w:rPr>
          <w:t>Fromont Briens+3ADP France+3BNP Paribas Épargne Entreprises+3</w:t>
        </w:r>
      </w:hyperlink>
    </w:p>
    <w:p w14:paraId="3B52ED3C" w14:textId="77777777" w:rsidR="00124A36" w:rsidRPr="00124A36" w:rsidRDefault="00124A36" w:rsidP="00124A36">
      <w:pPr>
        <w:numPr>
          <w:ilvl w:val="0"/>
          <w:numId w:val="5"/>
        </w:numPr>
      </w:pPr>
      <w:r w:rsidRPr="00124A36">
        <w:t xml:space="preserve">Enfin, à compter du 1er janvier 2025, l’ancien « article 36 » (qui permettait à certains non-cadres d’être assimilés à des cadres) ne pourra plus être utilisé sauf si la branche a obtenu un agrément APEC pour l’intégrer dans les cadres définis par l’ANI 2017. </w:t>
      </w:r>
      <w:hyperlink r:id="rId11" w:tgtFrame="_blank" w:history="1">
        <w:r w:rsidRPr="00124A36">
          <w:rPr>
            <w:rStyle w:val="Lienhypertexte"/>
          </w:rPr>
          <w:t>ADP France+4mgprev.fr+4</w:t>
        </w:r>
      </w:hyperlink>
    </w:p>
    <w:p w14:paraId="777120BA" w14:textId="6C4214BB" w:rsidR="00340BE3" w:rsidRPr="00340BE3" w:rsidRDefault="00340BE3" w:rsidP="00340BE3"/>
    <w:p w14:paraId="7287082B" w14:textId="77777777" w:rsidR="006B2DFD" w:rsidRDefault="006B2DFD"/>
    <w:sectPr w:rsidR="006B2D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BC0B7D"/>
    <w:multiLevelType w:val="multilevel"/>
    <w:tmpl w:val="E0CE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FF474C"/>
    <w:multiLevelType w:val="multilevel"/>
    <w:tmpl w:val="C628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D5452E"/>
    <w:multiLevelType w:val="multilevel"/>
    <w:tmpl w:val="60004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224B78"/>
    <w:multiLevelType w:val="multilevel"/>
    <w:tmpl w:val="1938F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8503F75"/>
    <w:multiLevelType w:val="multilevel"/>
    <w:tmpl w:val="5596A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C60547"/>
    <w:multiLevelType w:val="multilevel"/>
    <w:tmpl w:val="35126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FC02E9E"/>
    <w:multiLevelType w:val="multilevel"/>
    <w:tmpl w:val="27369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CE19E0"/>
    <w:multiLevelType w:val="multilevel"/>
    <w:tmpl w:val="B5949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D1B5374"/>
    <w:multiLevelType w:val="multilevel"/>
    <w:tmpl w:val="A1C22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7808912">
    <w:abstractNumId w:val="3"/>
  </w:num>
  <w:num w:numId="2" w16cid:durableId="1928924735">
    <w:abstractNumId w:val="0"/>
  </w:num>
  <w:num w:numId="3" w16cid:durableId="1264075607">
    <w:abstractNumId w:val="2"/>
  </w:num>
  <w:num w:numId="4" w16cid:durableId="1898079685">
    <w:abstractNumId w:val="1"/>
  </w:num>
  <w:num w:numId="5" w16cid:durableId="408158432">
    <w:abstractNumId w:val="4"/>
  </w:num>
  <w:num w:numId="6" w16cid:durableId="153953096">
    <w:abstractNumId w:val="5"/>
  </w:num>
  <w:num w:numId="7" w16cid:durableId="2037777850">
    <w:abstractNumId w:val="8"/>
  </w:num>
  <w:num w:numId="8" w16cid:durableId="1445922122">
    <w:abstractNumId w:val="7"/>
  </w:num>
  <w:num w:numId="9" w16cid:durableId="63552426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BE3"/>
    <w:rsid w:val="00111F29"/>
    <w:rsid w:val="00124A36"/>
    <w:rsid w:val="00132A6E"/>
    <w:rsid w:val="001B2D0C"/>
    <w:rsid w:val="001D5F92"/>
    <w:rsid w:val="00340BE3"/>
    <w:rsid w:val="0047139F"/>
    <w:rsid w:val="00475EF8"/>
    <w:rsid w:val="006B2DFD"/>
    <w:rsid w:val="0095167B"/>
    <w:rsid w:val="00C31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89479"/>
  <w15:chartTrackingRefBased/>
  <w15:docId w15:val="{E88684C1-2376-4834-B570-1130585F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40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40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40B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40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40B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40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40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40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40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40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40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340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40BE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40BE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40BE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40BE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40BE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40BE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40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40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40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40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40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40BE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40BE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40BE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40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40BE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40BE3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40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ev">
    <w:name w:val="Strong"/>
    <w:basedOn w:val="Policepardfaut"/>
    <w:uiPriority w:val="22"/>
    <w:qFormat/>
    <w:rsid w:val="00340BE3"/>
    <w:rPr>
      <w:b/>
      <w:bCs/>
    </w:rPr>
  </w:style>
  <w:style w:type="character" w:customStyle="1" w:styleId="ms-1">
    <w:name w:val="ms-1"/>
    <w:basedOn w:val="Policepardfaut"/>
    <w:rsid w:val="00124A36"/>
  </w:style>
  <w:style w:type="character" w:customStyle="1" w:styleId="max-w-15ch">
    <w:name w:val="max-w-[15ch]"/>
    <w:basedOn w:val="Policepardfaut"/>
    <w:rsid w:val="00124A36"/>
  </w:style>
  <w:style w:type="character" w:customStyle="1" w:styleId="-me-1">
    <w:name w:val="-me-1"/>
    <w:basedOn w:val="Policepardfaut"/>
    <w:rsid w:val="00124A36"/>
  </w:style>
  <w:style w:type="character" w:styleId="Lienhypertexte">
    <w:name w:val="Hyperlink"/>
    <w:basedOn w:val="Policepardfaut"/>
    <w:uiPriority w:val="99"/>
    <w:unhideWhenUsed/>
    <w:rsid w:val="00124A3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24A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lakoffhumanis.com/s-informer/sante/categories-objectives-et-exoneration-de-cotisations-sociales/?utm_source=chatgpt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romont-briens.com/caractere-collectif-dun-regime-de-protection-sociale-nouveaux-criteres-de-definition-dune-categorie-objective/?utm_source=chatgpt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www.mgprev.fr/blog/nos-actualites-1/categories-objectives-nos-conseils-pour-etre-en-conformite-11?utm_source=chatgpt.com" TargetMode="External"/><Relationship Id="rId5" Type="http://schemas.openxmlformats.org/officeDocument/2006/relationships/hyperlink" Target="https://www.legifrance.gouv.fr/conv_coll/id/KALITEXT000036732007/?utm_source=chatgpt.com" TargetMode="External"/><Relationship Id="rId10" Type="http://schemas.openxmlformats.org/officeDocument/2006/relationships/hyperlink" Target="https://www.fr.adp.com/ressources/documentations/articles/e/evolutions-legales-oct-2021-regimes-de-prevoyance-complementaire-et-retraite-supplementaire.aspx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fbatiment.fr/actualites-batiment/actualite-ba/prevoyance-sante-retraite-supplementaire-conserver-benefice-exonerations-cotisations-sociales?utm_source=chatgpt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1063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2</cp:revision>
  <dcterms:created xsi:type="dcterms:W3CDTF">2025-10-07T15:06:00Z</dcterms:created>
  <dcterms:modified xsi:type="dcterms:W3CDTF">2025-10-07T15:06:00Z</dcterms:modified>
</cp:coreProperties>
</file>